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C1240" w:rsidRDefault="00AC1240" w:rsidP="00AC1240">
      <w:pPr>
        <w:pStyle w:val="1"/>
        <w:rPr>
          <w:rFonts w:ascii="Times New Roman" w:eastAsiaTheme="minorHAnsi" w:hAnsi="Times New Roman"/>
          <w:sz w:val="28"/>
          <w:szCs w:val="28"/>
          <w:lang w:eastAsia="en-US"/>
        </w:rPr>
      </w:pPr>
      <w:bookmarkStart w:id="0" w:name="_GoBack"/>
      <w:r>
        <w:rPr>
          <w:rFonts w:ascii="Times New Roman" w:eastAsiaTheme="minorHAnsi" w:hAnsi="Times New Roman"/>
          <w:sz w:val="28"/>
          <w:szCs w:val="28"/>
          <w:lang w:eastAsia="en-US"/>
        </w:rPr>
        <w:t xml:space="preserve">Требования к сервисным контрактам </w:t>
      </w:r>
      <w:proofErr w:type="spellStart"/>
      <w:r w:rsidRPr="00FB0535">
        <w:rPr>
          <w:rFonts w:ascii="Times New Roman" w:eastAsiaTheme="minorHAnsi" w:hAnsi="Times New Roman"/>
          <w:sz w:val="28"/>
          <w:szCs w:val="28"/>
          <w:lang w:eastAsia="en-US"/>
        </w:rPr>
        <w:t>SMARTNet</w:t>
      </w:r>
      <w:proofErr w:type="spellEnd"/>
    </w:p>
    <w:p w:rsidR="00AC1240" w:rsidRDefault="00AC1240" w:rsidP="00AC1240">
      <w:pPr>
        <w:autoSpaceDE w:val="0"/>
        <w:autoSpaceDN w:val="0"/>
        <w:adjustRightInd w:val="0"/>
        <w:jc w:val="both"/>
        <w:rPr>
          <w:color w:val="000000"/>
          <w:sz w:val="28"/>
          <w:szCs w:val="28"/>
        </w:rPr>
      </w:pPr>
      <w:proofErr w:type="gramStart"/>
      <w:r>
        <w:rPr>
          <w:color w:val="000000"/>
          <w:sz w:val="28"/>
          <w:szCs w:val="28"/>
        </w:rPr>
        <w:t>Для гарантирования работоспособности, удаленного обслуживания и обеспечения своевременной замены в случае выхода из строя, используемого в ТОО «</w:t>
      </w:r>
      <w:r>
        <w:rPr>
          <w:color w:val="000000"/>
          <w:sz w:val="28"/>
          <w:szCs w:val="28"/>
          <w:lang w:val="en-US"/>
        </w:rPr>
        <w:t>Kazakhmys</w:t>
      </w:r>
      <w:r w:rsidRPr="00F66889">
        <w:rPr>
          <w:color w:val="000000"/>
          <w:sz w:val="28"/>
          <w:szCs w:val="28"/>
        </w:rPr>
        <w:t xml:space="preserve"> </w:t>
      </w:r>
      <w:r>
        <w:rPr>
          <w:color w:val="000000"/>
          <w:sz w:val="28"/>
          <w:szCs w:val="28"/>
          <w:lang w:val="en-US"/>
        </w:rPr>
        <w:t>Energy</w:t>
      </w:r>
      <w:r>
        <w:rPr>
          <w:color w:val="000000"/>
          <w:sz w:val="28"/>
          <w:szCs w:val="28"/>
        </w:rPr>
        <w:t>» (</w:t>
      </w:r>
      <w:proofErr w:type="spellStart"/>
      <w:r>
        <w:rPr>
          <w:color w:val="000000"/>
          <w:sz w:val="28"/>
          <w:szCs w:val="28"/>
        </w:rPr>
        <w:t>Казахмыс</w:t>
      </w:r>
      <w:proofErr w:type="spellEnd"/>
      <w:r>
        <w:rPr>
          <w:color w:val="000000"/>
          <w:sz w:val="28"/>
          <w:szCs w:val="28"/>
        </w:rPr>
        <w:t xml:space="preserve"> </w:t>
      </w:r>
      <w:proofErr w:type="spellStart"/>
      <w:r>
        <w:rPr>
          <w:color w:val="000000"/>
          <w:sz w:val="28"/>
          <w:szCs w:val="28"/>
        </w:rPr>
        <w:t>Энерджи</w:t>
      </w:r>
      <w:proofErr w:type="spellEnd"/>
      <w:r>
        <w:rPr>
          <w:color w:val="000000"/>
          <w:sz w:val="28"/>
          <w:szCs w:val="28"/>
        </w:rPr>
        <w:t xml:space="preserve">) видеотерминалов MX300 G2 находящихся на станциях ГРЭС, БТЭЦ, ЖТЭЦ, поставщик обязан предоставить сервисные контракты от производителя оборудования сроком действия не менее 36 месяцев на оборудование, которое перечислено в Таблица 1: </w:t>
      </w:r>
      <w:proofErr w:type="gramEnd"/>
    </w:p>
    <w:p w:rsidR="00AC1240" w:rsidRDefault="00AC1240" w:rsidP="00AC1240">
      <w:pPr>
        <w:autoSpaceDE w:val="0"/>
        <w:autoSpaceDN w:val="0"/>
        <w:adjustRightInd w:val="0"/>
        <w:rPr>
          <w:b/>
          <w:color w:val="000000"/>
          <w:sz w:val="28"/>
          <w:szCs w:val="28"/>
        </w:rPr>
      </w:pPr>
      <w:r>
        <w:rPr>
          <w:b/>
          <w:color w:val="000000"/>
          <w:sz w:val="28"/>
          <w:szCs w:val="28"/>
        </w:rPr>
        <w:t>Таблица 1. Перечень сетевого оборудования</w:t>
      </w:r>
    </w:p>
    <w:p w:rsidR="00AC1240" w:rsidRDefault="00AC1240" w:rsidP="00AC1240">
      <w:pPr>
        <w:autoSpaceDE w:val="0"/>
        <w:autoSpaceDN w:val="0"/>
        <w:adjustRightInd w:val="0"/>
        <w:jc w:val="both"/>
        <w:rPr>
          <w:color w:val="000000"/>
          <w:sz w:val="28"/>
          <w:szCs w:val="28"/>
        </w:rPr>
      </w:pPr>
    </w:p>
    <w:tbl>
      <w:tblPr>
        <w:tblStyle w:val="GridTableLight"/>
        <w:tblW w:w="0" w:type="auto"/>
        <w:jc w:val="center"/>
        <w:tblInd w:w="0" w:type="dxa"/>
        <w:tblLayout w:type="fixed"/>
        <w:tblLook w:val="04A0" w:firstRow="1" w:lastRow="0" w:firstColumn="1" w:lastColumn="0" w:noHBand="0" w:noVBand="1"/>
      </w:tblPr>
      <w:tblGrid>
        <w:gridCol w:w="704"/>
        <w:gridCol w:w="4542"/>
        <w:gridCol w:w="2835"/>
      </w:tblGrid>
      <w:tr w:rsidR="00AC1240" w:rsidTr="00441D08">
        <w:trPr>
          <w:trHeight w:val="98"/>
          <w:jc w:val="center"/>
        </w:trPr>
        <w:tc>
          <w:tcPr>
            <w:tcW w:w="70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rsidR="00AC1240" w:rsidRDefault="00AC1240" w:rsidP="00AC1240">
            <w:pPr>
              <w:autoSpaceDE w:val="0"/>
              <w:autoSpaceDN w:val="0"/>
              <w:adjustRightInd w:val="0"/>
              <w:rPr>
                <w:color w:val="000000"/>
                <w:sz w:val="28"/>
                <w:szCs w:val="28"/>
              </w:rPr>
            </w:pPr>
            <w:r>
              <w:rPr>
                <w:b/>
                <w:bCs/>
                <w:color w:val="000000"/>
                <w:sz w:val="28"/>
                <w:szCs w:val="28"/>
              </w:rPr>
              <w:t xml:space="preserve">№ </w:t>
            </w:r>
          </w:p>
        </w:tc>
        <w:tc>
          <w:tcPr>
            <w:tcW w:w="454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rsidR="00AC1240" w:rsidRDefault="00AC1240" w:rsidP="00AC1240">
            <w:pPr>
              <w:autoSpaceDE w:val="0"/>
              <w:autoSpaceDN w:val="0"/>
              <w:adjustRightInd w:val="0"/>
              <w:rPr>
                <w:color w:val="000000"/>
                <w:sz w:val="28"/>
                <w:szCs w:val="28"/>
              </w:rPr>
            </w:pPr>
            <w:r>
              <w:rPr>
                <w:b/>
                <w:bCs/>
                <w:color w:val="000000"/>
                <w:sz w:val="28"/>
                <w:szCs w:val="28"/>
              </w:rPr>
              <w:t xml:space="preserve">Модель оборудования </w:t>
            </w:r>
          </w:p>
        </w:tc>
        <w:tc>
          <w:tcPr>
            <w:tcW w:w="283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rsidR="00AC1240" w:rsidRDefault="00AC1240" w:rsidP="00AC1240">
            <w:pPr>
              <w:autoSpaceDE w:val="0"/>
              <w:autoSpaceDN w:val="0"/>
              <w:adjustRightInd w:val="0"/>
              <w:jc w:val="center"/>
              <w:rPr>
                <w:color w:val="000000"/>
                <w:sz w:val="28"/>
                <w:szCs w:val="28"/>
              </w:rPr>
            </w:pPr>
            <w:r>
              <w:rPr>
                <w:b/>
                <w:bCs/>
                <w:color w:val="000000"/>
                <w:sz w:val="28"/>
                <w:szCs w:val="28"/>
              </w:rPr>
              <w:t>Количество оборудования</w:t>
            </w:r>
          </w:p>
        </w:tc>
      </w:tr>
      <w:tr w:rsidR="00AC1240" w:rsidTr="00441D08">
        <w:trPr>
          <w:trHeight w:val="148"/>
          <w:jc w:val="center"/>
        </w:trPr>
        <w:tc>
          <w:tcPr>
            <w:tcW w:w="70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rsidR="00AC1240" w:rsidRDefault="00AC1240" w:rsidP="00AC1240">
            <w:pPr>
              <w:autoSpaceDE w:val="0"/>
              <w:autoSpaceDN w:val="0"/>
              <w:adjustRightInd w:val="0"/>
              <w:rPr>
                <w:color w:val="000000"/>
                <w:sz w:val="28"/>
                <w:szCs w:val="28"/>
              </w:rPr>
            </w:pPr>
            <w:r>
              <w:rPr>
                <w:color w:val="000000"/>
                <w:sz w:val="28"/>
                <w:szCs w:val="28"/>
              </w:rPr>
              <w:t xml:space="preserve">1 </w:t>
            </w:r>
          </w:p>
        </w:tc>
        <w:tc>
          <w:tcPr>
            <w:tcW w:w="454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rsidR="00AC1240" w:rsidRDefault="00AC1240" w:rsidP="00AC1240">
            <w:pPr>
              <w:autoSpaceDE w:val="0"/>
              <w:autoSpaceDN w:val="0"/>
              <w:adjustRightInd w:val="0"/>
              <w:rPr>
                <w:color w:val="000000"/>
                <w:sz w:val="28"/>
                <w:szCs w:val="28"/>
                <w:lang w:val="en-US"/>
              </w:rPr>
            </w:pPr>
            <w:r>
              <w:rPr>
                <w:color w:val="000000"/>
                <w:sz w:val="28"/>
                <w:szCs w:val="28"/>
                <w:lang w:val="en-US"/>
              </w:rPr>
              <w:t xml:space="preserve">Cisco </w:t>
            </w:r>
            <w:proofErr w:type="spellStart"/>
            <w:r>
              <w:rPr>
                <w:color w:val="000000"/>
                <w:sz w:val="28"/>
                <w:szCs w:val="28"/>
                <w:lang w:val="en-US"/>
              </w:rPr>
              <w:t>TelePresence</w:t>
            </w:r>
            <w:proofErr w:type="spellEnd"/>
            <w:r>
              <w:rPr>
                <w:color w:val="000000"/>
                <w:sz w:val="28"/>
                <w:szCs w:val="28"/>
                <w:lang w:val="en-US"/>
              </w:rPr>
              <w:t xml:space="preserve"> MX300 55 Gen 2, PHD 1080 8x</w:t>
            </w:r>
          </w:p>
        </w:tc>
        <w:tc>
          <w:tcPr>
            <w:tcW w:w="283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rsidR="00AC1240" w:rsidRDefault="00AC1240" w:rsidP="00AC1240">
            <w:pPr>
              <w:autoSpaceDE w:val="0"/>
              <w:autoSpaceDN w:val="0"/>
              <w:adjustRightInd w:val="0"/>
              <w:jc w:val="center"/>
              <w:rPr>
                <w:color w:val="000000"/>
                <w:sz w:val="28"/>
                <w:szCs w:val="28"/>
                <w:lang w:val="en-US"/>
              </w:rPr>
            </w:pPr>
            <w:r>
              <w:rPr>
                <w:color w:val="000000"/>
                <w:sz w:val="28"/>
                <w:szCs w:val="28"/>
                <w:lang w:val="en-US"/>
              </w:rPr>
              <w:t>3</w:t>
            </w:r>
          </w:p>
        </w:tc>
      </w:tr>
    </w:tbl>
    <w:p w:rsidR="00AC1240" w:rsidRDefault="00AC1240" w:rsidP="00AC1240">
      <w:pPr>
        <w:spacing w:before="120"/>
        <w:jc w:val="both"/>
        <w:rPr>
          <w:sz w:val="28"/>
          <w:szCs w:val="28"/>
          <w:lang w:eastAsia="en-US"/>
        </w:rPr>
      </w:pPr>
      <w:r>
        <w:rPr>
          <w:sz w:val="28"/>
          <w:szCs w:val="28"/>
        </w:rPr>
        <w:t xml:space="preserve">Составные части сервисной поддержки оборудования, перечисленного </w:t>
      </w:r>
      <w:proofErr w:type="gramStart"/>
      <w:r>
        <w:rPr>
          <w:sz w:val="28"/>
          <w:szCs w:val="28"/>
        </w:rPr>
        <w:t>в</w:t>
      </w:r>
      <w:proofErr w:type="gramEnd"/>
      <w:r>
        <w:rPr>
          <w:sz w:val="28"/>
          <w:szCs w:val="28"/>
        </w:rPr>
        <w:t xml:space="preserve"> </w:t>
      </w:r>
      <w:proofErr w:type="gramStart"/>
      <w:r>
        <w:rPr>
          <w:sz w:val="28"/>
          <w:szCs w:val="28"/>
        </w:rPr>
        <w:t>Таблица</w:t>
      </w:r>
      <w:proofErr w:type="gramEnd"/>
      <w:r>
        <w:rPr>
          <w:sz w:val="28"/>
          <w:szCs w:val="28"/>
        </w:rPr>
        <w:t xml:space="preserve"> 1, должна включать в себя на обязательной основе полное описание следующих услуг:</w:t>
      </w:r>
    </w:p>
    <w:p w:rsidR="00AC1240" w:rsidRDefault="00AC1240" w:rsidP="00AC1240">
      <w:pPr>
        <w:pStyle w:val="a4"/>
        <w:numPr>
          <w:ilvl w:val="0"/>
          <w:numId w:val="1"/>
        </w:numPr>
        <w:spacing w:after="0" w:line="240" w:lineRule="auto"/>
        <w:ind w:left="0" w:firstLine="0"/>
        <w:contextualSpacing w:val="0"/>
        <w:jc w:val="both"/>
        <w:rPr>
          <w:rFonts w:ascii="Times New Roman" w:hAnsi="Times New Roman"/>
          <w:sz w:val="28"/>
          <w:szCs w:val="28"/>
        </w:rPr>
      </w:pPr>
      <w:r>
        <w:rPr>
          <w:rFonts w:ascii="Times New Roman" w:hAnsi="Times New Roman"/>
          <w:sz w:val="28"/>
          <w:szCs w:val="28"/>
        </w:rPr>
        <w:t>Сервисное обслуживание</w:t>
      </w:r>
    </w:p>
    <w:p w:rsidR="00AC1240" w:rsidRDefault="00AC1240" w:rsidP="00AC1240">
      <w:pPr>
        <w:pStyle w:val="a4"/>
        <w:numPr>
          <w:ilvl w:val="0"/>
          <w:numId w:val="1"/>
        </w:numPr>
        <w:spacing w:after="0" w:line="240" w:lineRule="auto"/>
        <w:ind w:left="0" w:firstLine="0"/>
        <w:contextualSpacing w:val="0"/>
        <w:jc w:val="both"/>
        <w:rPr>
          <w:rFonts w:ascii="Times New Roman" w:hAnsi="Times New Roman"/>
          <w:sz w:val="28"/>
          <w:szCs w:val="28"/>
        </w:rPr>
      </w:pPr>
      <w:r>
        <w:rPr>
          <w:rFonts w:ascii="Times New Roman" w:hAnsi="Times New Roman"/>
          <w:sz w:val="28"/>
          <w:szCs w:val="28"/>
        </w:rPr>
        <w:t>Коррекция и/или обновление программного обеспечения и/или аппаратных средств</w:t>
      </w:r>
    </w:p>
    <w:p w:rsidR="00AC1240" w:rsidRDefault="00AC1240" w:rsidP="00AC1240">
      <w:pPr>
        <w:pStyle w:val="a4"/>
        <w:numPr>
          <w:ilvl w:val="0"/>
          <w:numId w:val="1"/>
        </w:numPr>
        <w:spacing w:after="0" w:line="240" w:lineRule="auto"/>
        <w:ind w:left="0" w:firstLine="0"/>
        <w:contextualSpacing w:val="0"/>
        <w:jc w:val="both"/>
        <w:rPr>
          <w:rFonts w:ascii="Times New Roman" w:hAnsi="Times New Roman"/>
          <w:color w:val="000000" w:themeColor="text1"/>
          <w:sz w:val="28"/>
          <w:szCs w:val="28"/>
        </w:rPr>
      </w:pPr>
      <w:r>
        <w:rPr>
          <w:rFonts w:ascii="Times New Roman" w:hAnsi="Times New Roman"/>
          <w:color w:val="000000" w:themeColor="text1"/>
          <w:sz w:val="28"/>
          <w:szCs w:val="28"/>
        </w:rPr>
        <w:t xml:space="preserve">Замену и ремонт аппаратных средств (на основе сервисного контракта от производителя оборудования) </w:t>
      </w:r>
    </w:p>
    <w:p w:rsidR="00AC1240" w:rsidRDefault="00AC1240" w:rsidP="00AC1240">
      <w:pPr>
        <w:jc w:val="both"/>
        <w:rPr>
          <w:sz w:val="28"/>
          <w:szCs w:val="28"/>
        </w:rPr>
      </w:pPr>
      <w:r>
        <w:rPr>
          <w:color w:val="000000" w:themeColor="text1"/>
          <w:sz w:val="28"/>
          <w:szCs w:val="28"/>
        </w:rPr>
        <w:t>Сервисное обслуживание предоставляется Поставщиком в режиме 24х7 (круглосуточно, семь дней в неделю).</w:t>
      </w:r>
    </w:p>
    <w:p w:rsidR="00AC1240" w:rsidRDefault="00AC1240" w:rsidP="00AC1240">
      <w:pPr>
        <w:jc w:val="both"/>
        <w:rPr>
          <w:sz w:val="28"/>
          <w:szCs w:val="28"/>
        </w:rPr>
      </w:pPr>
      <w:r>
        <w:rPr>
          <w:sz w:val="28"/>
          <w:szCs w:val="28"/>
        </w:rPr>
        <w:t>Классификация проблем и приоритетов, присваиваемых запросам, определяется заказчиком, исходя из следующих критериев:</w:t>
      </w:r>
    </w:p>
    <w:p w:rsidR="00AC1240" w:rsidRDefault="00AC1240" w:rsidP="00AC1240">
      <w:pPr>
        <w:jc w:val="both"/>
        <w:rPr>
          <w:b/>
          <w:sz w:val="28"/>
          <w:szCs w:val="28"/>
        </w:rPr>
      </w:pPr>
      <w:proofErr w:type="gramStart"/>
      <w:r>
        <w:rPr>
          <w:b/>
          <w:sz w:val="28"/>
          <w:szCs w:val="28"/>
        </w:rPr>
        <w:t>Критическая</w:t>
      </w:r>
      <w:proofErr w:type="gramEnd"/>
      <w:r>
        <w:rPr>
          <w:b/>
          <w:sz w:val="28"/>
          <w:szCs w:val="28"/>
        </w:rPr>
        <w:t xml:space="preserve"> – приоритет 1</w:t>
      </w:r>
    </w:p>
    <w:p w:rsidR="00AC1240" w:rsidRDefault="00AC1240" w:rsidP="00AC1240">
      <w:pPr>
        <w:jc w:val="both"/>
        <w:rPr>
          <w:sz w:val="28"/>
          <w:szCs w:val="28"/>
        </w:rPr>
      </w:pPr>
      <w:r>
        <w:rPr>
          <w:sz w:val="28"/>
          <w:szCs w:val="28"/>
        </w:rPr>
        <w:t>Проблема, которая приводит, или с большей вероятностью может привести, к неработоспособности оборудования, и как следствие, к полному или частичному перерыву трафика.</w:t>
      </w:r>
    </w:p>
    <w:p w:rsidR="00AC1240" w:rsidRDefault="00AC1240" w:rsidP="00AC1240">
      <w:pPr>
        <w:jc w:val="both"/>
        <w:rPr>
          <w:sz w:val="28"/>
          <w:szCs w:val="28"/>
        </w:rPr>
      </w:pPr>
      <w:r>
        <w:rPr>
          <w:sz w:val="28"/>
          <w:szCs w:val="28"/>
        </w:rPr>
        <w:t>Потеря управления и/или мониторинга оборудованием или отдельными его частями.</w:t>
      </w:r>
    </w:p>
    <w:p w:rsidR="00AC1240" w:rsidRDefault="00AC1240" w:rsidP="00AC1240">
      <w:pPr>
        <w:jc w:val="both"/>
        <w:rPr>
          <w:b/>
          <w:sz w:val="28"/>
          <w:szCs w:val="28"/>
        </w:rPr>
      </w:pPr>
      <w:proofErr w:type="gramStart"/>
      <w:r>
        <w:rPr>
          <w:b/>
          <w:sz w:val="28"/>
          <w:szCs w:val="28"/>
        </w:rPr>
        <w:t>Серьёзная</w:t>
      </w:r>
      <w:proofErr w:type="gramEnd"/>
      <w:r>
        <w:rPr>
          <w:b/>
          <w:sz w:val="28"/>
          <w:szCs w:val="28"/>
        </w:rPr>
        <w:t xml:space="preserve"> – приоритет 2</w:t>
      </w:r>
    </w:p>
    <w:p w:rsidR="00AC1240" w:rsidRDefault="00AC1240" w:rsidP="00AC1240">
      <w:pPr>
        <w:jc w:val="both"/>
        <w:rPr>
          <w:sz w:val="28"/>
          <w:szCs w:val="28"/>
        </w:rPr>
      </w:pPr>
      <w:r>
        <w:rPr>
          <w:sz w:val="28"/>
          <w:szCs w:val="28"/>
        </w:rPr>
        <w:t>Проблема, которая приводит к неработоспособности или ухудшению функционирования отдельных элементов оборудования и/или системы управления и мониторинга оборудованием, и как следствие, к снижению качественных показателей предоставляемых услуг, а также надёжности и устойчивости функционирования оборудования и/или системы управления и мониторинга оборудованием, но не приводящие к перерыву трафика.</w:t>
      </w:r>
    </w:p>
    <w:p w:rsidR="00AC1240" w:rsidRDefault="00AC1240" w:rsidP="00AC1240">
      <w:pPr>
        <w:jc w:val="both"/>
        <w:rPr>
          <w:b/>
          <w:sz w:val="28"/>
          <w:szCs w:val="28"/>
        </w:rPr>
      </w:pPr>
      <w:proofErr w:type="gramStart"/>
      <w:r>
        <w:rPr>
          <w:b/>
          <w:sz w:val="28"/>
          <w:szCs w:val="28"/>
        </w:rPr>
        <w:t>Незначительная</w:t>
      </w:r>
      <w:proofErr w:type="gramEnd"/>
      <w:r>
        <w:rPr>
          <w:b/>
          <w:sz w:val="28"/>
          <w:szCs w:val="28"/>
        </w:rPr>
        <w:t xml:space="preserve"> – приоритет 3</w:t>
      </w:r>
    </w:p>
    <w:p w:rsidR="00AC1240" w:rsidRDefault="00AC1240" w:rsidP="00AC1240">
      <w:pPr>
        <w:jc w:val="both"/>
        <w:rPr>
          <w:sz w:val="28"/>
          <w:szCs w:val="28"/>
        </w:rPr>
      </w:pPr>
      <w:r>
        <w:rPr>
          <w:sz w:val="28"/>
          <w:szCs w:val="28"/>
        </w:rPr>
        <w:t xml:space="preserve">Проблема, которая приводит к неработоспособности или ухудшению функционирования отдельных элементов оборудования и/или системы управления и мониторинга оборудованием, но не влияет на качественные показатели предоставляемых услуг, контроль, управление и трафик, </w:t>
      </w:r>
      <w:r>
        <w:rPr>
          <w:sz w:val="28"/>
          <w:szCs w:val="28"/>
        </w:rPr>
        <w:lastRenderedPageBreak/>
        <w:t>организованный с использованием оборудования и/или системы управления и мониторинга оборудованием.</w:t>
      </w:r>
    </w:p>
    <w:p w:rsidR="00AC1240" w:rsidRDefault="00AC1240" w:rsidP="00AC1240">
      <w:pPr>
        <w:jc w:val="both"/>
        <w:rPr>
          <w:b/>
          <w:sz w:val="28"/>
          <w:szCs w:val="28"/>
        </w:rPr>
      </w:pPr>
      <w:r>
        <w:rPr>
          <w:b/>
          <w:sz w:val="28"/>
          <w:szCs w:val="28"/>
        </w:rPr>
        <w:t>Общий вопрос – приоритет 4</w:t>
      </w:r>
    </w:p>
    <w:p w:rsidR="00AC1240" w:rsidRDefault="00AC1240" w:rsidP="00AC1240">
      <w:pPr>
        <w:jc w:val="both"/>
        <w:rPr>
          <w:sz w:val="28"/>
          <w:szCs w:val="28"/>
        </w:rPr>
      </w:pPr>
      <w:r>
        <w:rPr>
          <w:sz w:val="28"/>
          <w:szCs w:val="28"/>
        </w:rPr>
        <w:t>Запросы, относящиеся к функционально-техническим возможностям оборудования и/или системы управления и мониторинга оборудованием, рекомендациям, процедурам по её техническому обслуживанию и эксплуатации, конфигурированию, настройки.</w:t>
      </w:r>
    </w:p>
    <w:p w:rsidR="00AC1240" w:rsidRDefault="00AC1240" w:rsidP="00AC1240">
      <w:pPr>
        <w:jc w:val="both"/>
        <w:rPr>
          <w:sz w:val="28"/>
          <w:szCs w:val="28"/>
        </w:rPr>
      </w:pPr>
      <w:r>
        <w:rPr>
          <w:sz w:val="28"/>
          <w:szCs w:val="28"/>
        </w:rPr>
        <w:t xml:space="preserve">Время нейтрализации и устранения проблемы, вне зависимости от её сложности, не должно превышать временных показателей, указанных </w:t>
      </w:r>
      <w:proofErr w:type="gramStart"/>
      <w:r>
        <w:rPr>
          <w:sz w:val="28"/>
          <w:szCs w:val="28"/>
        </w:rPr>
        <w:t>в</w:t>
      </w:r>
      <w:proofErr w:type="gramEnd"/>
      <w:r>
        <w:rPr>
          <w:sz w:val="28"/>
          <w:szCs w:val="28"/>
        </w:rPr>
        <w:t xml:space="preserve"> Таблица 2.</w:t>
      </w:r>
    </w:p>
    <w:p w:rsidR="00AC1240" w:rsidRDefault="00AC1240" w:rsidP="00AC1240">
      <w:pPr>
        <w:jc w:val="both"/>
        <w:rPr>
          <w:sz w:val="28"/>
          <w:szCs w:val="28"/>
        </w:rPr>
      </w:pPr>
      <w:r>
        <w:rPr>
          <w:sz w:val="28"/>
          <w:szCs w:val="28"/>
        </w:rPr>
        <w:t>Таблица 2</w:t>
      </w:r>
    </w:p>
    <w:tbl>
      <w:tblPr>
        <w:tblW w:w="0" w:type="auto"/>
        <w:tblInd w:w="534" w:type="dxa"/>
        <w:tblLayout w:type="fixed"/>
        <w:tblLook w:val="04A0" w:firstRow="1" w:lastRow="0" w:firstColumn="1" w:lastColumn="0" w:noHBand="0" w:noVBand="1"/>
      </w:tblPr>
      <w:tblGrid>
        <w:gridCol w:w="2979"/>
        <w:gridCol w:w="1432"/>
        <w:gridCol w:w="1345"/>
        <w:gridCol w:w="1413"/>
        <w:gridCol w:w="1860"/>
      </w:tblGrid>
      <w:tr w:rsidR="00AC1240" w:rsidTr="00441D08">
        <w:tc>
          <w:tcPr>
            <w:tcW w:w="2979" w:type="dxa"/>
            <w:tcBorders>
              <w:top w:val="single" w:sz="4" w:space="0" w:color="000000"/>
              <w:left w:val="single" w:sz="4" w:space="0" w:color="000000"/>
              <w:bottom w:val="single" w:sz="4" w:space="0" w:color="000000"/>
              <w:right w:val="nil"/>
            </w:tcBorders>
            <w:shd w:val="clear" w:color="auto" w:fill="FFFF99"/>
            <w:vAlign w:val="center"/>
            <w:hideMark/>
          </w:tcPr>
          <w:p w:rsidR="00AC1240" w:rsidRDefault="00AC1240" w:rsidP="00AC1240">
            <w:pPr>
              <w:snapToGrid w:val="0"/>
              <w:jc w:val="both"/>
              <w:rPr>
                <w:b/>
                <w:sz w:val="28"/>
                <w:szCs w:val="28"/>
              </w:rPr>
            </w:pPr>
            <w:r>
              <w:rPr>
                <w:b/>
                <w:sz w:val="28"/>
                <w:szCs w:val="28"/>
              </w:rPr>
              <w:t>Приоритет</w:t>
            </w:r>
          </w:p>
        </w:tc>
        <w:tc>
          <w:tcPr>
            <w:tcW w:w="1432" w:type="dxa"/>
            <w:tcBorders>
              <w:top w:val="single" w:sz="4" w:space="0" w:color="000000"/>
              <w:left w:val="single" w:sz="4" w:space="0" w:color="000000"/>
              <w:bottom w:val="single" w:sz="4" w:space="0" w:color="000000"/>
              <w:right w:val="nil"/>
            </w:tcBorders>
            <w:shd w:val="clear" w:color="auto" w:fill="FFFF99"/>
            <w:hideMark/>
          </w:tcPr>
          <w:p w:rsidR="00AC1240" w:rsidRDefault="00AC1240" w:rsidP="00AC1240">
            <w:pPr>
              <w:snapToGrid w:val="0"/>
              <w:jc w:val="both"/>
              <w:rPr>
                <w:b/>
                <w:sz w:val="28"/>
                <w:szCs w:val="28"/>
              </w:rPr>
            </w:pPr>
            <w:r>
              <w:rPr>
                <w:b/>
                <w:sz w:val="28"/>
                <w:szCs w:val="28"/>
              </w:rPr>
              <w:t>1</w:t>
            </w:r>
          </w:p>
        </w:tc>
        <w:tc>
          <w:tcPr>
            <w:tcW w:w="1345" w:type="dxa"/>
            <w:tcBorders>
              <w:top w:val="single" w:sz="4" w:space="0" w:color="000000"/>
              <w:left w:val="single" w:sz="4" w:space="0" w:color="000000"/>
              <w:bottom w:val="single" w:sz="4" w:space="0" w:color="000000"/>
              <w:right w:val="nil"/>
            </w:tcBorders>
            <w:shd w:val="clear" w:color="auto" w:fill="FFFF99"/>
            <w:hideMark/>
          </w:tcPr>
          <w:p w:rsidR="00AC1240" w:rsidRDefault="00AC1240" w:rsidP="00AC1240">
            <w:pPr>
              <w:snapToGrid w:val="0"/>
              <w:jc w:val="both"/>
              <w:rPr>
                <w:b/>
                <w:sz w:val="28"/>
                <w:szCs w:val="28"/>
              </w:rPr>
            </w:pPr>
            <w:r>
              <w:rPr>
                <w:b/>
                <w:sz w:val="28"/>
                <w:szCs w:val="28"/>
              </w:rPr>
              <w:t>2</w:t>
            </w:r>
          </w:p>
        </w:tc>
        <w:tc>
          <w:tcPr>
            <w:tcW w:w="1413" w:type="dxa"/>
            <w:tcBorders>
              <w:top w:val="single" w:sz="4" w:space="0" w:color="000000"/>
              <w:left w:val="single" w:sz="4" w:space="0" w:color="000000"/>
              <w:bottom w:val="single" w:sz="4" w:space="0" w:color="000000"/>
              <w:right w:val="nil"/>
            </w:tcBorders>
            <w:shd w:val="clear" w:color="auto" w:fill="FFFF99"/>
            <w:hideMark/>
          </w:tcPr>
          <w:p w:rsidR="00AC1240" w:rsidRDefault="00AC1240" w:rsidP="00AC1240">
            <w:pPr>
              <w:snapToGrid w:val="0"/>
              <w:jc w:val="both"/>
              <w:rPr>
                <w:b/>
                <w:sz w:val="28"/>
                <w:szCs w:val="28"/>
              </w:rPr>
            </w:pPr>
            <w:r>
              <w:rPr>
                <w:b/>
                <w:sz w:val="28"/>
                <w:szCs w:val="28"/>
              </w:rPr>
              <w:t>3</w:t>
            </w:r>
          </w:p>
        </w:tc>
        <w:tc>
          <w:tcPr>
            <w:tcW w:w="1860" w:type="dxa"/>
            <w:tcBorders>
              <w:top w:val="single" w:sz="4" w:space="0" w:color="000000"/>
              <w:left w:val="single" w:sz="4" w:space="0" w:color="000000"/>
              <w:bottom w:val="single" w:sz="4" w:space="0" w:color="000000"/>
              <w:right w:val="single" w:sz="4" w:space="0" w:color="000000"/>
            </w:tcBorders>
            <w:shd w:val="clear" w:color="auto" w:fill="FFFF99"/>
            <w:hideMark/>
          </w:tcPr>
          <w:p w:rsidR="00AC1240" w:rsidRDefault="00AC1240" w:rsidP="00AC1240">
            <w:pPr>
              <w:snapToGrid w:val="0"/>
              <w:jc w:val="both"/>
              <w:rPr>
                <w:b/>
                <w:sz w:val="28"/>
                <w:szCs w:val="28"/>
              </w:rPr>
            </w:pPr>
            <w:r>
              <w:rPr>
                <w:b/>
                <w:sz w:val="28"/>
                <w:szCs w:val="28"/>
              </w:rPr>
              <w:t>4</w:t>
            </w:r>
          </w:p>
        </w:tc>
      </w:tr>
      <w:tr w:rsidR="00AC1240" w:rsidTr="00441D08">
        <w:tc>
          <w:tcPr>
            <w:tcW w:w="2979" w:type="dxa"/>
            <w:tcBorders>
              <w:top w:val="single" w:sz="4" w:space="0" w:color="000000"/>
              <w:left w:val="single" w:sz="4" w:space="0" w:color="000000"/>
              <w:bottom w:val="single" w:sz="4" w:space="0" w:color="000000"/>
              <w:right w:val="nil"/>
            </w:tcBorders>
            <w:shd w:val="clear" w:color="auto" w:fill="FFFF99"/>
            <w:hideMark/>
          </w:tcPr>
          <w:p w:rsidR="00AC1240" w:rsidRDefault="00AC1240" w:rsidP="00AC1240">
            <w:pPr>
              <w:snapToGrid w:val="0"/>
              <w:jc w:val="both"/>
              <w:rPr>
                <w:sz w:val="28"/>
                <w:szCs w:val="28"/>
                <w:vertAlign w:val="superscript"/>
              </w:rPr>
            </w:pPr>
            <w:r>
              <w:rPr>
                <w:sz w:val="28"/>
                <w:szCs w:val="28"/>
              </w:rPr>
              <w:t xml:space="preserve">Время реагирования </w:t>
            </w:r>
            <w:r>
              <w:rPr>
                <w:sz w:val="28"/>
                <w:szCs w:val="28"/>
                <w:vertAlign w:val="superscript"/>
              </w:rPr>
              <w:t>1</w:t>
            </w:r>
          </w:p>
        </w:tc>
        <w:tc>
          <w:tcPr>
            <w:tcW w:w="1432" w:type="dxa"/>
            <w:tcBorders>
              <w:top w:val="single" w:sz="4" w:space="0" w:color="000000"/>
              <w:left w:val="single" w:sz="4" w:space="0" w:color="000000"/>
              <w:bottom w:val="single" w:sz="4" w:space="0" w:color="000000"/>
              <w:right w:val="nil"/>
            </w:tcBorders>
            <w:hideMark/>
          </w:tcPr>
          <w:p w:rsidR="00AC1240" w:rsidRDefault="00AC1240" w:rsidP="00AC1240">
            <w:pPr>
              <w:snapToGrid w:val="0"/>
              <w:jc w:val="both"/>
              <w:rPr>
                <w:sz w:val="28"/>
                <w:szCs w:val="28"/>
              </w:rPr>
            </w:pPr>
            <w:r>
              <w:rPr>
                <w:sz w:val="28"/>
                <w:szCs w:val="28"/>
              </w:rPr>
              <w:t>15 минут</w:t>
            </w:r>
          </w:p>
        </w:tc>
        <w:tc>
          <w:tcPr>
            <w:tcW w:w="1345" w:type="dxa"/>
            <w:tcBorders>
              <w:top w:val="single" w:sz="4" w:space="0" w:color="000000"/>
              <w:left w:val="single" w:sz="4" w:space="0" w:color="000000"/>
              <w:bottom w:val="single" w:sz="4" w:space="0" w:color="000000"/>
              <w:right w:val="nil"/>
            </w:tcBorders>
            <w:hideMark/>
          </w:tcPr>
          <w:p w:rsidR="00AC1240" w:rsidRDefault="00AC1240" w:rsidP="00AC1240">
            <w:pPr>
              <w:snapToGrid w:val="0"/>
              <w:jc w:val="both"/>
              <w:rPr>
                <w:sz w:val="28"/>
                <w:szCs w:val="28"/>
              </w:rPr>
            </w:pPr>
            <w:r>
              <w:rPr>
                <w:sz w:val="28"/>
                <w:szCs w:val="28"/>
              </w:rPr>
              <w:t>2 часа</w:t>
            </w:r>
          </w:p>
        </w:tc>
        <w:tc>
          <w:tcPr>
            <w:tcW w:w="1413" w:type="dxa"/>
            <w:tcBorders>
              <w:top w:val="single" w:sz="4" w:space="0" w:color="000000"/>
              <w:left w:val="single" w:sz="4" w:space="0" w:color="000000"/>
              <w:bottom w:val="single" w:sz="4" w:space="0" w:color="000000"/>
              <w:right w:val="nil"/>
            </w:tcBorders>
            <w:hideMark/>
          </w:tcPr>
          <w:p w:rsidR="00AC1240" w:rsidRDefault="00AC1240" w:rsidP="00AC1240">
            <w:pPr>
              <w:snapToGrid w:val="0"/>
              <w:jc w:val="both"/>
              <w:rPr>
                <w:sz w:val="28"/>
                <w:szCs w:val="28"/>
              </w:rPr>
            </w:pPr>
            <w:r>
              <w:rPr>
                <w:sz w:val="28"/>
                <w:szCs w:val="28"/>
              </w:rPr>
              <w:t xml:space="preserve">1 </w:t>
            </w:r>
            <w:proofErr w:type="spellStart"/>
            <w:r>
              <w:rPr>
                <w:sz w:val="28"/>
                <w:szCs w:val="28"/>
              </w:rPr>
              <w:t>рд</w:t>
            </w:r>
            <w:proofErr w:type="spellEnd"/>
            <w:r>
              <w:rPr>
                <w:sz w:val="28"/>
                <w:szCs w:val="28"/>
              </w:rPr>
              <w:t>*</w:t>
            </w:r>
          </w:p>
        </w:tc>
        <w:tc>
          <w:tcPr>
            <w:tcW w:w="1860" w:type="dxa"/>
            <w:tcBorders>
              <w:top w:val="single" w:sz="4" w:space="0" w:color="000000"/>
              <w:left w:val="single" w:sz="4" w:space="0" w:color="000000"/>
              <w:bottom w:val="single" w:sz="4" w:space="0" w:color="000000"/>
              <w:right w:val="single" w:sz="4" w:space="0" w:color="000000"/>
            </w:tcBorders>
            <w:hideMark/>
          </w:tcPr>
          <w:p w:rsidR="00AC1240" w:rsidRDefault="00AC1240" w:rsidP="00AC1240">
            <w:pPr>
              <w:snapToGrid w:val="0"/>
              <w:jc w:val="both"/>
              <w:rPr>
                <w:sz w:val="28"/>
                <w:szCs w:val="28"/>
              </w:rPr>
            </w:pPr>
            <w:r>
              <w:rPr>
                <w:sz w:val="28"/>
                <w:szCs w:val="28"/>
              </w:rPr>
              <w:t xml:space="preserve">1 </w:t>
            </w:r>
            <w:proofErr w:type="spellStart"/>
            <w:r>
              <w:rPr>
                <w:sz w:val="28"/>
                <w:szCs w:val="28"/>
              </w:rPr>
              <w:t>рд</w:t>
            </w:r>
            <w:proofErr w:type="spellEnd"/>
            <w:r>
              <w:rPr>
                <w:sz w:val="28"/>
                <w:szCs w:val="28"/>
              </w:rPr>
              <w:t>*</w:t>
            </w:r>
          </w:p>
        </w:tc>
      </w:tr>
      <w:tr w:rsidR="00AC1240" w:rsidTr="00441D08">
        <w:tc>
          <w:tcPr>
            <w:tcW w:w="2979" w:type="dxa"/>
            <w:tcBorders>
              <w:top w:val="single" w:sz="4" w:space="0" w:color="000000"/>
              <w:left w:val="single" w:sz="4" w:space="0" w:color="000000"/>
              <w:bottom w:val="single" w:sz="4" w:space="0" w:color="000000"/>
              <w:right w:val="nil"/>
            </w:tcBorders>
            <w:shd w:val="clear" w:color="auto" w:fill="FFFF99"/>
            <w:hideMark/>
          </w:tcPr>
          <w:p w:rsidR="00AC1240" w:rsidRDefault="00AC1240" w:rsidP="00AC1240">
            <w:pPr>
              <w:snapToGrid w:val="0"/>
              <w:jc w:val="both"/>
              <w:rPr>
                <w:sz w:val="28"/>
                <w:szCs w:val="28"/>
                <w:vertAlign w:val="superscript"/>
              </w:rPr>
            </w:pPr>
            <w:r>
              <w:rPr>
                <w:sz w:val="28"/>
                <w:szCs w:val="28"/>
              </w:rPr>
              <w:t xml:space="preserve">Временное решение </w:t>
            </w:r>
            <w:r>
              <w:rPr>
                <w:sz w:val="28"/>
                <w:szCs w:val="28"/>
                <w:vertAlign w:val="superscript"/>
              </w:rPr>
              <w:t>2</w:t>
            </w:r>
          </w:p>
        </w:tc>
        <w:tc>
          <w:tcPr>
            <w:tcW w:w="1432" w:type="dxa"/>
            <w:tcBorders>
              <w:top w:val="single" w:sz="4" w:space="0" w:color="000000"/>
              <w:left w:val="single" w:sz="4" w:space="0" w:color="000000"/>
              <w:bottom w:val="single" w:sz="4" w:space="0" w:color="000000"/>
              <w:right w:val="nil"/>
            </w:tcBorders>
            <w:hideMark/>
          </w:tcPr>
          <w:p w:rsidR="00AC1240" w:rsidRDefault="00AC1240" w:rsidP="00AC1240">
            <w:pPr>
              <w:snapToGrid w:val="0"/>
              <w:jc w:val="both"/>
              <w:rPr>
                <w:sz w:val="28"/>
                <w:szCs w:val="28"/>
              </w:rPr>
            </w:pPr>
            <w:r>
              <w:rPr>
                <w:sz w:val="28"/>
                <w:szCs w:val="28"/>
              </w:rPr>
              <w:t>4 часа</w:t>
            </w:r>
          </w:p>
        </w:tc>
        <w:tc>
          <w:tcPr>
            <w:tcW w:w="1345" w:type="dxa"/>
            <w:tcBorders>
              <w:top w:val="single" w:sz="4" w:space="0" w:color="000000"/>
              <w:left w:val="single" w:sz="4" w:space="0" w:color="000000"/>
              <w:bottom w:val="single" w:sz="4" w:space="0" w:color="000000"/>
              <w:right w:val="nil"/>
            </w:tcBorders>
            <w:hideMark/>
          </w:tcPr>
          <w:p w:rsidR="00AC1240" w:rsidRDefault="00AC1240" w:rsidP="00AC1240">
            <w:pPr>
              <w:snapToGrid w:val="0"/>
              <w:jc w:val="both"/>
              <w:rPr>
                <w:sz w:val="28"/>
                <w:szCs w:val="28"/>
              </w:rPr>
            </w:pPr>
            <w:r>
              <w:rPr>
                <w:sz w:val="28"/>
                <w:szCs w:val="28"/>
              </w:rPr>
              <w:t>2 кд**</w:t>
            </w:r>
          </w:p>
        </w:tc>
        <w:tc>
          <w:tcPr>
            <w:tcW w:w="1413" w:type="dxa"/>
            <w:tcBorders>
              <w:top w:val="single" w:sz="4" w:space="0" w:color="000000"/>
              <w:left w:val="single" w:sz="4" w:space="0" w:color="000000"/>
              <w:bottom w:val="single" w:sz="4" w:space="0" w:color="000000"/>
              <w:right w:val="nil"/>
            </w:tcBorders>
            <w:hideMark/>
          </w:tcPr>
          <w:p w:rsidR="00AC1240" w:rsidRDefault="00AC1240" w:rsidP="00AC1240">
            <w:pPr>
              <w:snapToGrid w:val="0"/>
              <w:jc w:val="both"/>
              <w:rPr>
                <w:sz w:val="28"/>
                <w:szCs w:val="28"/>
              </w:rPr>
            </w:pPr>
            <w:r>
              <w:rPr>
                <w:sz w:val="28"/>
                <w:szCs w:val="28"/>
              </w:rPr>
              <w:t>10 кд**</w:t>
            </w:r>
          </w:p>
        </w:tc>
        <w:tc>
          <w:tcPr>
            <w:tcW w:w="1860" w:type="dxa"/>
            <w:tcBorders>
              <w:top w:val="single" w:sz="4" w:space="0" w:color="000000"/>
              <w:left w:val="single" w:sz="4" w:space="0" w:color="000000"/>
              <w:bottom w:val="single" w:sz="4" w:space="0" w:color="000000"/>
              <w:right w:val="single" w:sz="4" w:space="0" w:color="000000"/>
            </w:tcBorders>
            <w:hideMark/>
          </w:tcPr>
          <w:p w:rsidR="00AC1240" w:rsidRDefault="00AC1240" w:rsidP="00AC1240">
            <w:pPr>
              <w:snapToGrid w:val="0"/>
              <w:jc w:val="both"/>
              <w:rPr>
                <w:sz w:val="28"/>
                <w:szCs w:val="28"/>
              </w:rPr>
            </w:pPr>
            <w:r>
              <w:rPr>
                <w:sz w:val="28"/>
                <w:szCs w:val="28"/>
              </w:rPr>
              <w:t>Не нормируется</w:t>
            </w:r>
          </w:p>
        </w:tc>
      </w:tr>
      <w:tr w:rsidR="00AC1240" w:rsidTr="00441D08">
        <w:tc>
          <w:tcPr>
            <w:tcW w:w="2979" w:type="dxa"/>
            <w:tcBorders>
              <w:top w:val="single" w:sz="4" w:space="0" w:color="000000"/>
              <w:left w:val="single" w:sz="4" w:space="0" w:color="000000"/>
              <w:bottom w:val="single" w:sz="4" w:space="0" w:color="000000"/>
              <w:right w:val="nil"/>
            </w:tcBorders>
            <w:shd w:val="clear" w:color="auto" w:fill="FFFF99"/>
            <w:hideMark/>
          </w:tcPr>
          <w:p w:rsidR="00AC1240" w:rsidRDefault="00AC1240" w:rsidP="00AC1240">
            <w:pPr>
              <w:snapToGrid w:val="0"/>
              <w:jc w:val="both"/>
              <w:rPr>
                <w:sz w:val="28"/>
                <w:szCs w:val="28"/>
                <w:vertAlign w:val="superscript"/>
              </w:rPr>
            </w:pPr>
            <w:r>
              <w:rPr>
                <w:sz w:val="28"/>
                <w:szCs w:val="28"/>
              </w:rPr>
              <w:t xml:space="preserve">Решение </w:t>
            </w:r>
            <w:r>
              <w:rPr>
                <w:sz w:val="28"/>
                <w:szCs w:val="28"/>
                <w:vertAlign w:val="superscript"/>
              </w:rPr>
              <w:t>3</w:t>
            </w:r>
          </w:p>
        </w:tc>
        <w:tc>
          <w:tcPr>
            <w:tcW w:w="1432" w:type="dxa"/>
            <w:tcBorders>
              <w:top w:val="single" w:sz="4" w:space="0" w:color="000000"/>
              <w:left w:val="single" w:sz="4" w:space="0" w:color="000000"/>
              <w:bottom w:val="single" w:sz="4" w:space="0" w:color="000000"/>
              <w:right w:val="nil"/>
            </w:tcBorders>
            <w:hideMark/>
          </w:tcPr>
          <w:p w:rsidR="00AC1240" w:rsidRDefault="00AC1240" w:rsidP="00AC1240">
            <w:pPr>
              <w:snapToGrid w:val="0"/>
              <w:jc w:val="both"/>
              <w:rPr>
                <w:sz w:val="28"/>
                <w:szCs w:val="28"/>
              </w:rPr>
            </w:pPr>
            <w:r>
              <w:rPr>
                <w:sz w:val="28"/>
                <w:szCs w:val="28"/>
              </w:rPr>
              <w:t>20 кд**</w:t>
            </w:r>
          </w:p>
        </w:tc>
        <w:tc>
          <w:tcPr>
            <w:tcW w:w="1345" w:type="dxa"/>
            <w:tcBorders>
              <w:top w:val="single" w:sz="4" w:space="0" w:color="000000"/>
              <w:left w:val="single" w:sz="4" w:space="0" w:color="000000"/>
              <w:bottom w:val="single" w:sz="4" w:space="0" w:color="000000"/>
              <w:right w:val="nil"/>
            </w:tcBorders>
            <w:hideMark/>
          </w:tcPr>
          <w:p w:rsidR="00AC1240" w:rsidRDefault="00AC1240" w:rsidP="00AC1240">
            <w:pPr>
              <w:snapToGrid w:val="0"/>
              <w:jc w:val="both"/>
              <w:rPr>
                <w:sz w:val="28"/>
                <w:szCs w:val="28"/>
              </w:rPr>
            </w:pPr>
            <w:r>
              <w:rPr>
                <w:sz w:val="28"/>
                <w:szCs w:val="28"/>
              </w:rPr>
              <w:t>20 кд**</w:t>
            </w:r>
          </w:p>
        </w:tc>
        <w:tc>
          <w:tcPr>
            <w:tcW w:w="1413" w:type="dxa"/>
            <w:tcBorders>
              <w:top w:val="single" w:sz="4" w:space="0" w:color="000000"/>
              <w:left w:val="single" w:sz="4" w:space="0" w:color="000000"/>
              <w:bottom w:val="single" w:sz="4" w:space="0" w:color="000000"/>
              <w:right w:val="nil"/>
            </w:tcBorders>
            <w:hideMark/>
          </w:tcPr>
          <w:p w:rsidR="00AC1240" w:rsidRDefault="00AC1240" w:rsidP="00AC1240">
            <w:pPr>
              <w:snapToGrid w:val="0"/>
              <w:jc w:val="both"/>
              <w:rPr>
                <w:sz w:val="28"/>
                <w:szCs w:val="28"/>
              </w:rPr>
            </w:pPr>
            <w:r>
              <w:rPr>
                <w:sz w:val="28"/>
                <w:szCs w:val="28"/>
              </w:rPr>
              <w:t>20 кд**</w:t>
            </w:r>
          </w:p>
        </w:tc>
        <w:tc>
          <w:tcPr>
            <w:tcW w:w="1860" w:type="dxa"/>
            <w:tcBorders>
              <w:top w:val="single" w:sz="4" w:space="0" w:color="000000"/>
              <w:left w:val="single" w:sz="4" w:space="0" w:color="000000"/>
              <w:bottom w:val="single" w:sz="4" w:space="0" w:color="000000"/>
              <w:right w:val="single" w:sz="4" w:space="0" w:color="000000"/>
            </w:tcBorders>
            <w:hideMark/>
          </w:tcPr>
          <w:p w:rsidR="00AC1240" w:rsidRDefault="00AC1240" w:rsidP="00AC1240">
            <w:pPr>
              <w:snapToGrid w:val="0"/>
              <w:jc w:val="both"/>
              <w:rPr>
                <w:sz w:val="28"/>
                <w:szCs w:val="28"/>
              </w:rPr>
            </w:pPr>
            <w:r>
              <w:rPr>
                <w:sz w:val="28"/>
                <w:szCs w:val="28"/>
              </w:rPr>
              <w:t>10 кд**</w:t>
            </w:r>
          </w:p>
        </w:tc>
      </w:tr>
    </w:tbl>
    <w:p w:rsidR="00AC1240" w:rsidRDefault="00AC1240" w:rsidP="00AC1240">
      <w:pPr>
        <w:autoSpaceDE w:val="0"/>
        <w:ind w:left="567"/>
        <w:jc w:val="both"/>
        <w:rPr>
          <w:sz w:val="28"/>
          <w:szCs w:val="28"/>
          <w:lang w:eastAsia="en-US"/>
        </w:rPr>
      </w:pPr>
      <w:r>
        <w:rPr>
          <w:sz w:val="28"/>
          <w:szCs w:val="28"/>
        </w:rPr>
        <w:t>* рабочий день</w:t>
      </w:r>
    </w:p>
    <w:p w:rsidR="00AC1240" w:rsidRDefault="00AC1240" w:rsidP="00AC1240">
      <w:pPr>
        <w:autoSpaceDE w:val="0"/>
        <w:ind w:left="567"/>
        <w:jc w:val="both"/>
        <w:rPr>
          <w:sz w:val="28"/>
          <w:szCs w:val="28"/>
        </w:rPr>
      </w:pPr>
      <w:r>
        <w:rPr>
          <w:sz w:val="28"/>
          <w:szCs w:val="28"/>
        </w:rPr>
        <w:t>** календарный день</w:t>
      </w:r>
    </w:p>
    <w:p w:rsidR="00AC1240" w:rsidRDefault="00AC1240" w:rsidP="00AC1240">
      <w:pPr>
        <w:rPr>
          <w:b/>
          <w:bCs/>
          <w:sz w:val="28"/>
          <w:szCs w:val="28"/>
        </w:rPr>
      </w:pPr>
      <w:r>
        <w:rPr>
          <w:b/>
          <w:bCs/>
          <w:sz w:val="28"/>
          <w:szCs w:val="28"/>
          <w:vertAlign w:val="superscript"/>
        </w:rPr>
        <w:t>1</w:t>
      </w:r>
      <w:r>
        <w:rPr>
          <w:b/>
          <w:bCs/>
          <w:sz w:val="28"/>
          <w:szCs w:val="28"/>
        </w:rPr>
        <w:t xml:space="preserve"> Время реагирования</w:t>
      </w:r>
    </w:p>
    <w:p w:rsidR="00AC1240" w:rsidRDefault="00AC1240" w:rsidP="00AC1240">
      <w:pPr>
        <w:jc w:val="both"/>
        <w:rPr>
          <w:sz w:val="28"/>
          <w:szCs w:val="28"/>
        </w:rPr>
      </w:pPr>
      <w:r>
        <w:rPr>
          <w:sz w:val="28"/>
          <w:szCs w:val="28"/>
        </w:rPr>
        <w:t>Максимальный срок с момента направления представителями Заказчика Запроса, в течение которого представители Поставщика подтвердят его получение, присвоив входящий номер, и приступят к оказанию услуги, указанной в Запросе.</w:t>
      </w:r>
    </w:p>
    <w:p w:rsidR="00AC1240" w:rsidRDefault="00AC1240" w:rsidP="00AC1240">
      <w:pPr>
        <w:jc w:val="both"/>
        <w:rPr>
          <w:b/>
          <w:bCs/>
          <w:sz w:val="28"/>
          <w:szCs w:val="28"/>
        </w:rPr>
      </w:pPr>
      <w:r>
        <w:rPr>
          <w:b/>
          <w:bCs/>
          <w:sz w:val="28"/>
          <w:szCs w:val="28"/>
          <w:vertAlign w:val="superscript"/>
        </w:rPr>
        <w:t>2</w:t>
      </w:r>
      <w:r>
        <w:rPr>
          <w:b/>
          <w:bCs/>
          <w:sz w:val="28"/>
          <w:szCs w:val="28"/>
        </w:rPr>
        <w:t xml:space="preserve"> Временное Решение</w:t>
      </w:r>
    </w:p>
    <w:p w:rsidR="00AC1240" w:rsidRDefault="00AC1240" w:rsidP="00AC1240">
      <w:pPr>
        <w:jc w:val="both"/>
        <w:rPr>
          <w:sz w:val="28"/>
          <w:szCs w:val="28"/>
        </w:rPr>
      </w:pPr>
      <w:r>
        <w:rPr>
          <w:sz w:val="28"/>
          <w:szCs w:val="28"/>
        </w:rPr>
        <w:t xml:space="preserve">Предварительное решение, обеспечивающее функционирование оборудования без признаков ситуации, вызвавшей Запрос соответствующего приоритета, но не гарантирующие выявления причин ее возникновения. При Временном решении возможны некоторые ограничения функционирования, не оказывающие влияние на трафик, управление и мониторинг Системой. </w:t>
      </w:r>
    </w:p>
    <w:p w:rsidR="00AC1240" w:rsidRDefault="00AC1240" w:rsidP="00AC1240">
      <w:pPr>
        <w:rPr>
          <w:b/>
          <w:bCs/>
          <w:sz w:val="28"/>
          <w:szCs w:val="28"/>
        </w:rPr>
      </w:pPr>
      <w:r>
        <w:rPr>
          <w:b/>
          <w:bCs/>
          <w:sz w:val="28"/>
          <w:szCs w:val="28"/>
          <w:vertAlign w:val="superscript"/>
        </w:rPr>
        <w:t>3</w:t>
      </w:r>
      <w:r>
        <w:rPr>
          <w:b/>
          <w:bCs/>
          <w:sz w:val="28"/>
          <w:szCs w:val="28"/>
        </w:rPr>
        <w:t xml:space="preserve"> Решение</w:t>
      </w:r>
    </w:p>
    <w:p w:rsidR="00AC1240" w:rsidRPr="00F66889" w:rsidRDefault="00AC1240" w:rsidP="00AC1240">
      <w:pPr>
        <w:rPr>
          <w:b/>
          <w:bCs/>
          <w:sz w:val="28"/>
          <w:szCs w:val="28"/>
        </w:rPr>
      </w:pPr>
      <w:r>
        <w:rPr>
          <w:sz w:val="28"/>
          <w:szCs w:val="28"/>
        </w:rPr>
        <w:t>Окончательное решение, устраняющее причину возникновения проблемы. Позволяет оборудованию функционировать без каких-либо ограничений, исключает вероятность повторного возникновения проблемы.</w:t>
      </w:r>
    </w:p>
    <w:p w:rsidR="00AC1240" w:rsidRDefault="00AC1240" w:rsidP="00AC1240">
      <w:pPr>
        <w:jc w:val="both"/>
        <w:rPr>
          <w:sz w:val="28"/>
          <w:szCs w:val="28"/>
        </w:rPr>
      </w:pPr>
      <w:r>
        <w:rPr>
          <w:sz w:val="28"/>
          <w:szCs w:val="28"/>
        </w:rPr>
        <w:t xml:space="preserve">Поставщик обеспечивает постоянный (24х7) авторизованный доступ к сайту </w:t>
      </w:r>
      <w:hyperlink r:id="rId6" w:history="1">
        <w:r>
          <w:rPr>
            <w:rStyle w:val="a3"/>
            <w:sz w:val="28"/>
            <w:szCs w:val="28"/>
          </w:rPr>
          <w:t>www.cisco.com</w:t>
        </w:r>
      </w:hyperlink>
      <w:r>
        <w:rPr>
          <w:sz w:val="28"/>
          <w:szCs w:val="28"/>
        </w:rPr>
        <w:t>, включая онлайновые базы знаний и онлайновые инструментальные средства.</w:t>
      </w:r>
    </w:p>
    <w:p w:rsidR="00AC1240" w:rsidRDefault="00AC1240" w:rsidP="00AC1240">
      <w:pPr>
        <w:jc w:val="both"/>
        <w:rPr>
          <w:sz w:val="28"/>
          <w:szCs w:val="28"/>
        </w:rPr>
      </w:pPr>
      <w:r>
        <w:rPr>
          <w:sz w:val="28"/>
          <w:szCs w:val="28"/>
        </w:rPr>
        <w:t xml:space="preserve">Обработка и предоставление решений (в </w:t>
      </w:r>
      <w:proofErr w:type="spellStart"/>
      <w:r>
        <w:rPr>
          <w:sz w:val="28"/>
          <w:szCs w:val="28"/>
        </w:rPr>
        <w:t>т.ч</w:t>
      </w:r>
      <w:proofErr w:type="spellEnd"/>
      <w:r>
        <w:rPr>
          <w:sz w:val="28"/>
          <w:szCs w:val="28"/>
        </w:rPr>
        <w:t>. рекомендаций и предложений) по сервисным запросам предоставляется на русском.</w:t>
      </w:r>
    </w:p>
    <w:p w:rsidR="00AC1240" w:rsidRDefault="00AC1240" w:rsidP="00AC1240">
      <w:pPr>
        <w:jc w:val="both"/>
        <w:rPr>
          <w:sz w:val="28"/>
          <w:szCs w:val="28"/>
        </w:rPr>
      </w:pPr>
      <w:r>
        <w:rPr>
          <w:sz w:val="28"/>
          <w:szCs w:val="28"/>
        </w:rPr>
        <w:t>Каждый запрос, направляемый Заказчиком Поставщику, регистрируется Заказчиком в системе регистрации и мониторинга запросов, к которой специалисты Заказчика имеют постоянный доступ в режиме 24х7х365.</w:t>
      </w:r>
    </w:p>
    <w:p w:rsidR="00AC1240" w:rsidRDefault="00AC1240" w:rsidP="00AC1240">
      <w:pPr>
        <w:jc w:val="both"/>
        <w:rPr>
          <w:sz w:val="28"/>
          <w:szCs w:val="28"/>
        </w:rPr>
      </w:pPr>
      <w:r>
        <w:rPr>
          <w:sz w:val="28"/>
          <w:szCs w:val="28"/>
        </w:rPr>
        <w:t>Каждому Запросу, направленному Заказчиком Поставщику, присваивается уникальный номер и выделяется, соответствующий возникшей проблеме, специалист Поставщика, который занимается проблемой на приоритетной основе и решает её в оговоренные сроки.</w:t>
      </w:r>
    </w:p>
    <w:p w:rsidR="00AC1240" w:rsidRDefault="00AC1240" w:rsidP="00AC1240">
      <w:pPr>
        <w:jc w:val="both"/>
        <w:rPr>
          <w:sz w:val="28"/>
          <w:szCs w:val="28"/>
        </w:rPr>
      </w:pPr>
      <w:r>
        <w:rPr>
          <w:sz w:val="28"/>
          <w:szCs w:val="28"/>
        </w:rPr>
        <w:lastRenderedPageBreak/>
        <w:t xml:space="preserve">В случае получения Запроса с Приоритетом 1 и 2 персонал Поставщика обязан находиться в постоянном контакте с персоналом Заказчика до полного разрешения проблемы, т.е. 24 часа в сутки, 7 дней в неделю. Оказание Услуг согласно Запросам с приоритетом 3 и ниже ведётся в рабочее время – с 9 до 18:30 часов по времени г. Астаны, а также выходных и праздничных дней. </w:t>
      </w:r>
    </w:p>
    <w:p w:rsidR="00AC1240" w:rsidRDefault="00AC1240" w:rsidP="00AC1240">
      <w:pPr>
        <w:jc w:val="both"/>
        <w:rPr>
          <w:sz w:val="28"/>
          <w:szCs w:val="28"/>
        </w:rPr>
      </w:pPr>
      <w:r>
        <w:rPr>
          <w:sz w:val="28"/>
          <w:szCs w:val="28"/>
        </w:rPr>
        <w:t>В случае получения Запроса Сервисное обслуживание должно оказываться всеми возможными способами включая, но не ограничиваясь:</w:t>
      </w:r>
    </w:p>
    <w:p w:rsidR="00AC1240" w:rsidRDefault="00AC1240" w:rsidP="00AC1240">
      <w:pPr>
        <w:jc w:val="both"/>
        <w:rPr>
          <w:sz w:val="28"/>
          <w:szCs w:val="28"/>
        </w:rPr>
      </w:pPr>
      <w:r>
        <w:rPr>
          <w:sz w:val="28"/>
          <w:szCs w:val="28"/>
        </w:rPr>
        <w:t>–</w:t>
      </w:r>
      <w:r>
        <w:rPr>
          <w:sz w:val="28"/>
          <w:szCs w:val="28"/>
        </w:rPr>
        <w:tab/>
        <w:t>поддержкой по телефону с указанием методики выхода из аварийной ситуации, техническому обслуживанию и эксплуатации, конфигурированию и настройки Оборудования</w:t>
      </w:r>
    </w:p>
    <w:p w:rsidR="00AC1240" w:rsidRDefault="00AC1240" w:rsidP="00AC1240">
      <w:pPr>
        <w:jc w:val="both"/>
        <w:rPr>
          <w:sz w:val="28"/>
          <w:szCs w:val="28"/>
        </w:rPr>
      </w:pPr>
      <w:r>
        <w:rPr>
          <w:sz w:val="28"/>
          <w:szCs w:val="28"/>
        </w:rPr>
        <w:t>–</w:t>
      </w:r>
      <w:r>
        <w:rPr>
          <w:sz w:val="28"/>
          <w:szCs w:val="28"/>
        </w:rPr>
        <w:tab/>
        <w:t>дистанционным мониторингом и конфигурированием аварийного оборудования при условии предоставления Заказчиком Удалённого доступа к Оборудованию</w:t>
      </w:r>
    </w:p>
    <w:p w:rsidR="00AC1240" w:rsidRDefault="00AC1240" w:rsidP="00AC1240">
      <w:pPr>
        <w:jc w:val="both"/>
        <w:rPr>
          <w:sz w:val="28"/>
          <w:szCs w:val="28"/>
        </w:rPr>
      </w:pPr>
      <w:r>
        <w:rPr>
          <w:sz w:val="28"/>
          <w:szCs w:val="28"/>
        </w:rPr>
        <w:t>–</w:t>
      </w:r>
      <w:r>
        <w:rPr>
          <w:sz w:val="28"/>
          <w:szCs w:val="28"/>
        </w:rPr>
        <w:tab/>
        <w:t>непосредственным присутствием на объекте персонала Поставщика.</w:t>
      </w:r>
    </w:p>
    <w:p w:rsidR="00AC1240" w:rsidRDefault="00AC1240" w:rsidP="00AC1240">
      <w:pPr>
        <w:jc w:val="both"/>
        <w:rPr>
          <w:sz w:val="28"/>
          <w:szCs w:val="28"/>
        </w:rPr>
      </w:pPr>
      <w:r>
        <w:rPr>
          <w:sz w:val="28"/>
          <w:szCs w:val="28"/>
        </w:rPr>
        <w:t>Выбор способа осуществляется представителями Поставщика по согласованию с представителями Заказчика. Время предоставления Временного решения и Решения по Запросам не зависит от выбранного способа.</w:t>
      </w:r>
    </w:p>
    <w:p w:rsidR="00AC1240" w:rsidRDefault="00AC1240" w:rsidP="00AC1240">
      <w:pPr>
        <w:jc w:val="both"/>
        <w:rPr>
          <w:sz w:val="28"/>
          <w:szCs w:val="28"/>
        </w:rPr>
      </w:pPr>
      <w:r>
        <w:rPr>
          <w:sz w:val="28"/>
          <w:szCs w:val="28"/>
        </w:rPr>
        <w:t>Заказчик имеет возможность обратиться по телефону Горячей Линии Службы Сервиса для получения консультации. Услуга предоставляется в рабочее время – с 9 до 18:30 часов по времени г. Астаны, кроме выходных и праздничных дней. Консультации в рамках программы Сервисного обслуживания предоставляются по вопросам включенным, но не ограниченным нижеприведенным перечнем:</w:t>
      </w:r>
    </w:p>
    <w:p w:rsidR="00AC1240" w:rsidRDefault="00AC1240" w:rsidP="00AC1240">
      <w:pPr>
        <w:jc w:val="both"/>
        <w:rPr>
          <w:sz w:val="28"/>
          <w:szCs w:val="28"/>
        </w:rPr>
      </w:pPr>
      <w:r>
        <w:rPr>
          <w:sz w:val="28"/>
          <w:szCs w:val="28"/>
        </w:rPr>
        <w:t>–</w:t>
      </w:r>
      <w:r>
        <w:rPr>
          <w:sz w:val="28"/>
          <w:szCs w:val="28"/>
        </w:rPr>
        <w:tab/>
        <w:t xml:space="preserve">Консультации Заказчика по вопросам конфигурирования и планового обслуживания Оборудования, взятого на Сервисное обслуживание. </w:t>
      </w:r>
    </w:p>
    <w:p w:rsidR="00AC1240" w:rsidRDefault="00AC1240" w:rsidP="00AC1240">
      <w:pPr>
        <w:jc w:val="both"/>
        <w:rPr>
          <w:sz w:val="28"/>
          <w:szCs w:val="28"/>
        </w:rPr>
      </w:pPr>
      <w:r>
        <w:rPr>
          <w:sz w:val="28"/>
          <w:szCs w:val="28"/>
        </w:rPr>
        <w:t>–</w:t>
      </w:r>
      <w:r>
        <w:rPr>
          <w:sz w:val="28"/>
          <w:szCs w:val="28"/>
        </w:rPr>
        <w:tab/>
        <w:t>Консультации по проведению превентивных мер для недопущения аварийных ситуаций.</w:t>
      </w:r>
    </w:p>
    <w:p w:rsidR="00AC1240" w:rsidRDefault="00AC1240" w:rsidP="00AC1240">
      <w:pPr>
        <w:jc w:val="both"/>
        <w:rPr>
          <w:sz w:val="28"/>
          <w:szCs w:val="28"/>
        </w:rPr>
      </w:pPr>
      <w:r>
        <w:rPr>
          <w:sz w:val="28"/>
          <w:szCs w:val="28"/>
        </w:rPr>
        <w:t>–</w:t>
      </w:r>
      <w:r>
        <w:rPr>
          <w:sz w:val="28"/>
          <w:szCs w:val="28"/>
        </w:rPr>
        <w:tab/>
        <w:t>Консультации Заказчика по вопросам расширения и модернизации Оборудования, взятого на Сервисное обслуживание.</w:t>
      </w:r>
    </w:p>
    <w:p w:rsidR="00AC1240" w:rsidRDefault="00AC1240" w:rsidP="00AC1240">
      <w:pPr>
        <w:jc w:val="both"/>
        <w:rPr>
          <w:sz w:val="28"/>
          <w:szCs w:val="28"/>
        </w:rPr>
      </w:pPr>
      <w:r>
        <w:rPr>
          <w:sz w:val="28"/>
          <w:szCs w:val="28"/>
        </w:rPr>
        <w:t>–</w:t>
      </w:r>
      <w:r>
        <w:rPr>
          <w:sz w:val="28"/>
          <w:szCs w:val="28"/>
        </w:rPr>
        <w:tab/>
        <w:t>Другие технические вопросы, связанные с Оборудованием Заказчика, взятым на Сервисное обслуживание.</w:t>
      </w:r>
    </w:p>
    <w:p w:rsidR="00AC1240" w:rsidRDefault="00AC1240" w:rsidP="00AC1240">
      <w:pPr>
        <w:jc w:val="both"/>
        <w:rPr>
          <w:b/>
          <w:sz w:val="28"/>
          <w:szCs w:val="28"/>
        </w:rPr>
      </w:pPr>
      <w:r>
        <w:rPr>
          <w:sz w:val="28"/>
          <w:szCs w:val="28"/>
        </w:rPr>
        <w:t>–</w:t>
      </w:r>
      <w:r>
        <w:rPr>
          <w:sz w:val="28"/>
          <w:szCs w:val="28"/>
        </w:rPr>
        <w:tab/>
        <w:t>Коррекция и/или обновление программного обеспечения и/или аппаратных средств</w:t>
      </w:r>
    </w:p>
    <w:p w:rsidR="00AC1240" w:rsidRDefault="00AC1240" w:rsidP="00AC1240">
      <w:pPr>
        <w:jc w:val="both"/>
        <w:rPr>
          <w:sz w:val="28"/>
          <w:szCs w:val="28"/>
        </w:rPr>
      </w:pPr>
      <w:r>
        <w:rPr>
          <w:sz w:val="28"/>
          <w:szCs w:val="28"/>
        </w:rPr>
        <w:t xml:space="preserve">Поставщик предоставляет Заказчику скорректированные и/или новые версии Программного обеспечения (ПО) (здесь и далее обновления ПО), и/или аппаратных средств Заказчика с целью решения или предотвращения проблем с оборудованием и/или системы управления и мониторинга оборудованием, а также документацию, описывающую особенности работы с обновлённым </w:t>
      </w:r>
      <w:proofErr w:type="gramStart"/>
      <w:r>
        <w:rPr>
          <w:sz w:val="28"/>
          <w:szCs w:val="28"/>
        </w:rPr>
        <w:t>ПО</w:t>
      </w:r>
      <w:proofErr w:type="gramEnd"/>
      <w:r>
        <w:rPr>
          <w:sz w:val="28"/>
          <w:szCs w:val="28"/>
        </w:rPr>
        <w:t xml:space="preserve"> и аппаратными средствами.</w:t>
      </w:r>
    </w:p>
    <w:p w:rsidR="00AC1240" w:rsidRDefault="00AC1240" w:rsidP="00AC1240">
      <w:pPr>
        <w:jc w:val="both"/>
        <w:rPr>
          <w:b/>
          <w:sz w:val="28"/>
          <w:szCs w:val="28"/>
        </w:rPr>
      </w:pPr>
      <w:r>
        <w:rPr>
          <w:sz w:val="28"/>
          <w:szCs w:val="28"/>
        </w:rPr>
        <w:t xml:space="preserve">Поставщик обязуется уведомлять Заказчика о доступности обновлений </w:t>
      </w:r>
      <w:proofErr w:type="gramStart"/>
      <w:r>
        <w:rPr>
          <w:sz w:val="28"/>
          <w:szCs w:val="28"/>
        </w:rPr>
        <w:t>ПО</w:t>
      </w:r>
      <w:proofErr w:type="gramEnd"/>
      <w:r>
        <w:rPr>
          <w:sz w:val="28"/>
          <w:szCs w:val="28"/>
        </w:rPr>
        <w:t xml:space="preserve"> и аппаратных средств</w:t>
      </w:r>
      <w:r>
        <w:rPr>
          <w:b/>
          <w:sz w:val="28"/>
          <w:szCs w:val="28"/>
        </w:rPr>
        <w:t>.</w:t>
      </w:r>
    </w:p>
    <w:bookmarkEnd w:id="0"/>
    <w:p w:rsidR="00AC1240" w:rsidRDefault="00AC1240" w:rsidP="00AC1240">
      <w:pPr>
        <w:rPr>
          <w:sz w:val="28"/>
          <w:szCs w:val="28"/>
        </w:rPr>
      </w:pPr>
    </w:p>
    <w:p w:rsidR="00111210" w:rsidRDefault="00111210"/>
    <w:sectPr w:rsidR="00111210" w:rsidSect="00AC1240">
      <w:pgSz w:w="11906" w:h="16838"/>
      <w:pgMar w:top="1134" w:right="566"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DE65991"/>
    <w:multiLevelType w:val="hybridMultilevel"/>
    <w:tmpl w:val="B400DD5E"/>
    <w:lvl w:ilvl="0" w:tplc="04190001">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cs="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start w:val="1"/>
      <w:numFmt w:val="bullet"/>
      <w:lvlText w:val="o"/>
      <w:lvlJc w:val="left"/>
      <w:pPr>
        <w:ind w:left="3960" w:hanging="360"/>
      </w:pPr>
      <w:rPr>
        <w:rFonts w:ascii="Courier New" w:hAnsi="Courier New" w:cs="Courier New" w:hint="default"/>
      </w:rPr>
    </w:lvl>
    <w:lvl w:ilvl="5" w:tplc="04190005">
      <w:start w:val="1"/>
      <w:numFmt w:val="bullet"/>
      <w:lvlText w:val=""/>
      <w:lvlJc w:val="left"/>
      <w:pPr>
        <w:ind w:left="4680" w:hanging="360"/>
      </w:pPr>
      <w:rPr>
        <w:rFonts w:ascii="Wingdings" w:hAnsi="Wingdings" w:hint="default"/>
      </w:rPr>
    </w:lvl>
    <w:lvl w:ilvl="6" w:tplc="04190001">
      <w:start w:val="1"/>
      <w:numFmt w:val="bullet"/>
      <w:lvlText w:val=""/>
      <w:lvlJc w:val="left"/>
      <w:pPr>
        <w:ind w:left="5400" w:hanging="360"/>
      </w:pPr>
      <w:rPr>
        <w:rFonts w:ascii="Symbol" w:hAnsi="Symbol" w:hint="default"/>
      </w:rPr>
    </w:lvl>
    <w:lvl w:ilvl="7" w:tplc="04190003">
      <w:start w:val="1"/>
      <w:numFmt w:val="bullet"/>
      <w:lvlText w:val="o"/>
      <w:lvlJc w:val="left"/>
      <w:pPr>
        <w:ind w:left="6120" w:hanging="360"/>
      </w:pPr>
      <w:rPr>
        <w:rFonts w:ascii="Courier New" w:hAnsi="Courier New" w:cs="Courier New" w:hint="default"/>
      </w:rPr>
    </w:lvl>
    <w:lvl w:ilvl="8" w:tplc="04190005">
      <w:start w:val="1"/>
      <w:numFmt w:val="bullet"/>
      <w:lvlText w:val=""/>
      <w:lvlJc w:val="left"/>
      <w:pPr>
        <w:ind w:left="684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9"/>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C1240"/>
    <w:rsid w:val="00111210"/>
    <w:rsid w:val="00AC1240"/>
    <w:rsid w:val="00B7732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C1240"/>
    <w:pPr>
      <w:spacing w:after="0" w:line="240" w:lineRule="auto"/>
    </w:pPr>
    <w:rPr>
      <w:rFonts w:ascii="Times New Roman" w:eastAsia="Times New Roman" w:hAnsi="Times New Roman" w:cs="Times New Roman"/>
      <w:sz w:val="24"/>
      <w:szCs w:val="24"/>
      <w:lang w:eastAsia="ru-RU"/>
    </w:rPr>
  </w:style>
  <w:style w:type="paragraph" w:styleId="1">
    <w:name w:val="heading 1"/>
    <w:aliases w:val="kapitola,kapitola1"/>
    <w:basedOn w:val="a"/>
    <w:next w:val="a"/>
    <w:link w:val="10"/>
    <w:qFormat/>
    <w:rsid w:val="00AC1240"/>
    <w:pPr>
      <w:keepNext/>
      <w:spacing w:before="240" w:after="60"/>
      <w:outlineLvl w:val="0"/>
    </w:pPr>
    <w:rPr>
      <w:rFonts w:ascii="Cambria" w:hAnsi="Cambria"/>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kapitola Знак,kapitola1 Знак"/>
    <w:basedOn w:val="a0"/>
    <w:link w:val="1"/>
    <w:rsid w:val="00AC1240"/>
    <w:rPr>
      <w:rFonts w:ascii="Cambria" w:eastAsia="Times New Roman" w:hAnsi="Cambria" w:cs="Times New Roman"/>
      <w:b/>
      <w:bCs/>
      <w:kern w:val="32"/>
      <w:sz w:val="32"/>
      <w:szCs w:val="32"/>
      <w:lang w:eastAsia="ru-RU"/>
    </w:rPr>
  </w:style>
  <w:style w:type="character" w:styleId="a3">
    <w:name w:val="Hyperlink"/>
    <w:uiPriority w:val="99"/>
    <w:rsid w:val="00AC1240"/>
    <w:rPr>
      <w:rFonts w:ascii="Times New Roman" w:hAnsi="Times New Roman" w:cs="Times New Roman" w:hint="default"/>
      <w:color w:val="333399"/>
      <w:u w:val="single"/>
    </w:rPr>
  </w:style>
  <w:style w:type="paragraph" w:styleId="a4">
    <w:name w:val="List Paragraph"/>
    <w:basedOn w:val="a"/>
    <w:link w:val="a5"/>
    <w:uiPriority w:val="34"/>
    <w:qFormat/>
    <w:rsid w:val="00AC1240"/>
    <w:pPr>
      <w:spacing w:after="200" w:line="276" w:lineRule="auto"/>
      <w:ind w:left="720"/>
      <w:contextualSpacing/>
    </w:pPr>
    <w:rPr>
      <w:rFonts w:ascii="Calibri" w:eastAsia="Calibri" w:hAnsi="Calibri"/>
      <w:sz w:val="22"/>
      <w:szCs w:val="22"/>
      <w:lang w:eastAsia="en-US"/>
    </w:rPr>
  </w:style>
  <w:style w:type="character" w:customStyle="1" w:styleId="a5">
    <w:name w:val="Абзац списка Знак"/>
    <w:link w:val="a4"/>
    <w:uiPriority w:val="34"/>
    <w:locked/>
    <w:rsid w:val="00AC1240"/>
    <w:rPr>
      <w:rFonts w:ascii="Calibri" w:eastAsia="Calibri" w:hAnsi="Calibri" w:cs="Times New Roman"/>
    </w:rPr>
  </w:style>
  <w:style w:type="table" w:customStyle="1" w:styleId="GridTableLight">
    <w:name w:val="Grid Table Light"/>
    <w:basedOn w:val="a1"/>
    <w:uiPriority w:val="40"/>
    <w:rsid w:val="00AC124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C1240"/>
    <w:pPr>
      <w:spacing w:after="0" w:line="240" w:lineRule="auto"/>
    </w:pPr>
    <w:rPr>
      <w:rFonts w:ascii="Times New Roman" w:eastAsia="Times New Roman" w:hAnsi="Times New Roman" w:cs="Times New Roman"/>
      <w:sz w:val="24"/>
      <w:szCs w:val="24"/>
      <w:lang w:eastAsia="ru-RU"/>
    </w:rPr>
  </w:style>
  <w:style w:type="paragraph" w:styleId="1">
    <w:name w:val="heading 1"/>
    <w:aliases w:val="kapitola,kapitola1"/>
    <w:basedOn w:val="a"/>
    <w:next w:val="a"/>
    <w:link w:val="10"/>
    <w:qFormat/>
    <w:rsid w:val="00AC1240"/>
    <w:pPr>
      <w:keepNext/>
      <w:spacing w:before="240" w:after="60"/>
      <w:outlineLvl w:val="0"/>
    </w:pPr>
    <w:rPr>
      <w:rFonts w:ascii="Cambria" w:hAnsi="Cambria"/>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kapitola Знак,kapitola1 Знак"/>
    <w:basedOn w:val="a0"/>
    <w:link w:val="1"/>
    <w:rsid w:val="00AC1240"/>
    <w:rPr>
      <w:rFonts w:ascii="Cambria" w:eastAsia="Times New Roman" w:hAnsi="Cambria" w:cs="Times New Roman"/>
      <w:b/>
      <w:bCs/>
      <w:kern w:val="32"/>
      <w:sz w:val="32"/>
      <w:szCs w:val="32"/>
      <w:lang w:eastAsia="ru-RU"/>
    </w:rPr>
  </w:style>
  <w:style w:type="character" w:styleId="a3">
    <w:name w:val="Hyperlink"/>
    <w:uiPriority w:val="99"/>
    <w:rsid w:val="00AC1240"/>
    <w:rPr>
      <w:rFonts w:ascii="Times New Roman" w:hAnsi="Times New Roman" w:cs="Times New Roman" w:hint="default"/>
      <w:color w:val="333399"/>
      <w:u w:val="single"/>
    </w:rPr>
  </w:style>
  <w:style w:type="paragraph" w:styleId="a4">
    <w:name w:val="List Paragraph"/>
    <w:basedOn w:val="a"/>
    <w:link w:val="a5"/>
    <w:uiPriority w:val="34"/>
    <w:qFormat/>
    <w:rsid w:val="00AC1240"/>
    <w:pPr>
      <w:spacing w:after="200" w:line="276" w:lineRule="auto"/>
      <w:ind w:left="720"/>
      <w:contextualSpacing/>
    </w:pPr>
    <w:rPr>
      <w:rFonts w:ascii="Calibri" w:eastAsia="Calibri" w:hAnsi="Calibri"/>
      <w:sz w:val="22"/>
      <w:szCs w:val="22"/>
      <w:lang w:eastAsia="en-US"/>
    </w:rPr>
  </w:style>
  <w:style w:type="character" w:customStyle="1" w:styleId="a5">
    <w:name w:val="Абзац списка Знак"/>
    <w:link w:val="a4"/>
    <w:uiPriority w:val="34"/>
    <w:locked/>
    <w:rsid w:val="00AC1240"/>
    <w:rPr>
      <w:rFonts w:ascii="Calibri" w:eastAsia="Calibri" w:hAnsi="Calibri" w:cs="Times New Roman"/>
    </w:rPr>
  </w:style>
  <w:style w:type="table" w:customStyle="1" w:styleId="GridTableLight">
    <w:name w:val="Grid Table Light"/>
    <w:basedOn w:val="a1"/>
    <w:uiPriority w:val="40"/>
    <w:rsid w:val="00AC124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cisco.co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1018</Words>
  <Characters>5805</Characters>
  <Application>Microsoft Office Word</Application>
  <DocSecurity>0</DocSecurity>
  <Lines>48</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6810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Светлана Пожидаева</dc:creator>
  <cp:lastModifiedBy>Светлана Пожидаева</cp:lastModifiedBy>
  <cp:revision>1</cp:revision>
  <dcterms:created xsi:type="dcterms:W3CDTF">2017-04-20T06:57:00Z</dcterms:created>
  <dcterms:modified xsi:type="dcterms:W3CDTF">2017-04-20T06:58:00Z</dcterms:modified>
</cp:coreProperties>
</file>